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ECDA8" w14:textId="139F600D" w:rsidR="00664AA0" w:rsidRPr="00664AA0" w:rsidRDefault="00664AA0" w:rsidP="00664AA0">
      <w:pPr>
        <w:jc w:val="center"/>
        <w:rPr>
          <w:b/>
          <w:bCs/>
          <w:sz w:val="32"/>
          <w:szCs w:val="32"/>
        </w:rPr>
      </w:pPr>
      <w:r w:rsidRPr="00664AA0">
        <w:rPr>
          <w:b/>
          <w:bCs/>
          <w:sz w:val="32"/>
          <w:szCs w:val="32"/>
        </w:rPr>
        <w:t>Mabey Hire Limited Tax Strategy Statement</w:t>
      </w:r>
    </w:p>
    <w:p w14:paraId="388C1CBA" w14:textId="77777777" w:rsidR="00664AA0" w:rsidRDefault="00664AA0" w:rsidP="00664AA0">
      <w:pPr>
        <w:rPr>
          <w:b/>
          <w:bCs/>
          <w:sz w:val="20"/>
          <w:szCs w:val="20"/>
        </w:rPr>
      </w:pPr>
    </w:p>
    <w:p w14:paraId="76546A10" w14:textId="528AF955" w:rsidR="00664AA0" w:rsidRPr="00664AA0" w:rsidRDefault="00664AA0" w:rsidP="00664AA0">
      <w:pPr>
        <w:rPr>
          <w:b/>
          <w:bCs/>
          <w:sz w:val="22"/>
          <w:szCs w:val="22"/>
        </w:rPr>
      </w:pPr>
      <w:r w:rsidRPr="00664AA0">
        <w:rPr>
          <w:b/>
          <w:bCs/>
          <w:sz w:val="22"/>
          <w:szCs w:val="22"/>
        </w:rPr>
        <w:t>Code of Conduct</w:t>
      </w:r>
    </w:p>
    <w:p w14:paraId="42CAA7D2" w14:textId="6D54F674" w:rsidR="00664AA0" w:rsidRPr="00664AA0" w:rsidRDefault="00664AA0" w:rsidP="00664AA0">
      <w:pPr>
        <w:rPr>
          <w:sz w:val="22"/>
          <w:szCs w:val="22"/>
        </w:rPr>
      </w:pPr>
      <w:r w:rsidRPr="00664AA0">
        <w:rPr>
          <w:sz w:val="22"/>
          <w:szCs w:val="22"/>
        </w:rPr>
        <w:t>As part of a multinational group Mabey Hire Ltd adheres to the PERI Group Code of Conduct which demands openness and transparency in business transactions as we believe this is key to creating reliability and credibility.</w:t>
      </w:r>
    </w:p>
    <w:p w14:paraId="22DE1F72" w14:textId="24761C0F" w:rsidR="00664AA0" w:rsidRPr="00664AA0" w:rsidRDefault="00664AA0" w:rsidP="00664AA0">
      <w:pPr>
        <w:rPr>
          <w:sz w:val="22"/>
          <w:szCs w:val="22"/>
        </w:rPr>
      </w:pPr>
      <w:r w:rsidRPr="00664AA0">
        <w:rPr>
          <w:sz w:val="22"/>
          <w:szCs w:val="22"/>
        </w:rPr>
        <w:t>This governing principle extends to how we interact with governments, authorities and public bodies and instructs our adherence to strict legal requirements concerning tax matters.</w:t>
      </w:r>
    </w:p>
    <w:p w14:paraId="4A9F3B1C" w14:textId="77777777" w:rsidR="00664AA0" w:rsidRPr="00664AA0" w:rsidRDefault="00664AA0" w:rsidP="00664AA0">
      <w:pPr>
        <w:rPr>
          <w:b/>
          <w:bCs/>
          <w:sz w:val="22"/>
          <w:szCs w:val="22"/>
        </w:rPr>
      </w:pPr>
    </w:p>
    <w:p w14:paraId="3E692DFC" w14:textId="66399893" w:rsidR="00664AA0" w:rsidRPr="00664AA0" w:rsidRDefault="00664AA0" w:rsidP="00664AA0">
      <w:pPr>
        <w:rPr>
          <w:b/>
          <w:bCs/>
          <w:sz w:val="22"/>
          <w:szCs w:val="22"/>
        </w:rPr>
      </w:pPr>
      <w:r w:rsidRPr="00664AA0">
        <w:rPr>
          <w:b/>
          <w:bCs/>
          <w:sz w:val="22"/>
          <w:szCs w:val="22"/>
        </w:rPr>
        <w:t>Risk Management &amp; Governance</w:t>
      </w:r>
    </w:p>
    <w:p w14:paraId="701051A9" w14:textId="3BFE2CA8" w:rsidR="00664AA0" w:rsidRPr="00664AA0" w:rsidRDefault="00664AA0" w:rsidP="00664AA0">
      <w:pPr>
        <w:rPr>
          <w:sz w:val="22"/>
          <w:szCs w:val="22"/>
        </w:rPr>
      </w:pPr>
      <w:r w:rsidRPr="00664AA0">
        <w:rPr>
          <w:sz w:val="22"/>
          <w:szCs w:val="22"/>
        </w:rPr>
        <w:t>PERI Group’s International Taxation Department is responsible for the Group Taxation Policy and risk management, transfer pricing documentation, transfer pricing setting, and communication of tax directives. Group Taxation Strategy has been approved by the PERI Group Head of Finance as of December 2022 and is reviewed and updated annually. Our approach to tax is applicable across the PERI Group.</w:t>
      </w:r>
    </w:p>
    <w:p w14:paraId="5065F6FE" w14:textId="7D36799E" w:rsidR="00664AA0" w:rsidRPr="00664AA0" w:rsidRDefault="00664AA0" w:rsidP="00664AA0">
      <w:pPr>
        <w:rPr>
          <w:sz w:val="22"/>
          <w:szCs w:val="22"/>
        </w:rPr>
      </w:pPr>
      <w:r w:rsidRPr="00664AA0">
        <w:rPr>
          <w:sz w:val="22"/>
          <w:szCs w:val="22"/>
        </w:rPr>
        <w:t>The Finance Director of Ma</w:t>
      </w:r>
      <w:r>
        <w:rPr>
          <w:sz w:val="22"/>
          <w:szCs w:val="22"/>
        </w:rPr>
        <w:t>b</w:t>
      </w:r>
      <w:r w:rsidRPr="00664AA0">
        <w:rPr>
          <w:sz w:val="22"/>
          <w:szCs w:val="22"/>
        </w:rPr>
        <w:t>ey Hire Ltd is responsible for the management of the local tax affairs of the company, complying with local laws and regulations and PERI Group tax directives.</w:t>
      </w:r>
    </w:p>
    <w:p w14:paraId="78BFFE3C" w14:textId="77777777" w:rsidR="00664AA0" w:rsidRPr="00664AA0" w:rsidRDefault="00664AA0" w:rsidP="00664AA0">
      <w:pPr>
        <w:rPr>
          <w:b/>
          <w:bCs/>
          <w:sz w:val="22"/>
          <w:szCs w:val="22"/>
        </w:rPr>
      </w:pPr>
    </w:p>
    <w:p w14:paraId="72C15825" w14:textId="0DFE884F" w:rsidR="00664AA0" w:rsidRPr="00664AA0" w:rsidRDefault="00664AA0" w:rsidP="00664AA0">
      <w:pPr>
        <w:rPr>
          <w:b/>
          <w:bCs/>
          <w:sz w:val="22"/>
          <w:szCs w:val="22"/>
        </w:rPr>
      </w:pPr>
      <w:r w:rsidRPr="00664AA0">
        <w:rPr>
          <w:b/>
          <w:bCs/>
          <w:sz w:val="22"/>
          <w:szCs w:val="22"/>
        </w:rPr>
        <w:t>Tax Planning &amp; our approach to Tax Risk</w:t>
      </w:r>
    </w:p>
    <w:p w14:paraId="21FC57A3" w14:textId="347F8D29" w:rsidR="00664AA0" w:rsidRPr="00664AA0" w:rsidRDefault="00664AA0" w:rsidP="00664AA0">
      <w:pPr>
        <w:rPr>
          <w:sz w:val="22"/>
          <w:szCs w:val="22"/>
        </w:rPr>
      </w:pPr>
      <w:r w:rsidRPr="00664AA0">
        <w:rPr>
          <w:sz w:val="22"/>
          <w:szCs w:val="22"/>
        </w:rPr>
        <w:t>Our appetite for tax risk is low. We do not engage in aggressive tax planning, nor do we engage in artificial tax arrangements but see it as our duty to pay the tax that is due, considering it our social responsibility as well as legal requirement to do so.</w:t>
      </w:r>
    </w:p>
    <w:p w14:paraId="62476FB2" w14:textId="7CB6D1D1" w:rsidR="00664AA0" w:rsidRPr="00664AA0" w:rsidRDefault="00664AA0" w:rsidP="00664AA0">
      <w:pPr>
        <w:rPr>
          <w:sz w:val="22"/>
          <w:szCs w:val="22"/>
        </w:rPr>
      </w:pPr>
      <w:r w:rsidRPr="00664AA0">
        <w:rPr>
          <w:sz w:val="22"/>
          <w:szCs w:val="22"/>
        </w:rPr>
        <w:t>We seek to use the tax reliefs and allowances that are available and applicable to us in the way they were intended by HMRC and statute. We seek external advice concerning the use of such available reliefs and incentives, consulting with HMRC where appropriate.</w:t>
      </w:r>
    </w:p>
    <w:p w14:paraId="7E253BC0" w14:textId="77777777" w:rsidR="00664AA0" w:rsidRPr="00664AA0" w:rsidRDefault="00664AA0" w:rsidP="00664AA0">
      <w:pPr>
        <w:rPr>
          <w:b/>
          <w:bCs/>
          <w:sz w:val="22"/>
          <w:szCs w:val="22"/>
        </w:rPr>
      </w:pPr>
    </w:p>
    <w:p w14:paraId="6994F24D" w14:textId="1E13F185" w:rsidR="00664AA0" w:rsidRPr="00664AA0" w:rsidRDefault="00664AA0" w:rsidP="00664AA0">
      <w:pPr>
        <w:rPr>
          <w:b/>
          <w:bCs/>
          <w:sz w:val="22"/>
          <w:szCs w:val="22"/>
        </w:rPr>
      </w:pPr>
      <w:r w:rsidRPr="00664AA0">
        <w:rPr>
          <w:b/>
          <w:bCs/>
          <w:sz w:val="22"/>
          <w:szCs w:val="22"/>
        </w:rPr>
        <w:t>Dealings with HMRC</w:t>
      </w:r>
    </w:p>
    <w:p w14:paraId="122070BB" w14:textId="77777777" w:rsidR="00664AA0" w:rsidRPr="00664AA0" w:rsidRDefault="00664AA0" w:rsidP="00664AA0">
      <w:pPr>
        <w:rPr>
          <w:sz w:val="22"/>
          <w:szCs w:val="22"/>
        </w:rPr>
      </w:pPr>
      <w:r w:rsidRPr="00664AA0">
        <w:rPr>
          <w:sz w:val="22"/>
          <w:szCs w:val="22"/>
        </w:rPr>
        <w:t>Our general policy is to be transparent in all interactions with HMRC.</w:t>
      </w:r>
    </w:p>
    <w:p w14:paraId="4500F63C" w14:textId="3A9CB86C" w:rsidR="00664AA0" w:rsidRPr="00664AA0" w:rsidRDefault="00664AA0" w:rsidP="00664AA0">
      <w:pPr>
        <w:rPr>
          <w:sz w:val="22"/>
          <w:szCs w:val="22"/>
        </w:rPr>
      </w:pPr>
      <w:r w:rsidRPr="00664AA0">
        <w:rPr>
          <w:sz w:val="22"/>
          <w:szCs w:val="22"/>
        </w:rPr>
        <w:t>We are committed to fully comply with the law; to make tax returns and payments on time; and to make full and proper disclosure to the tax authorities.</w:t>
      </w:r>
    </w:p>
    <w:p w14:paraId="5DA6552E" w14:textId="7DE38C5C" w:rsidR="00664AA0" w:rsidRPr="00664AA0" w:rsidRDefault="00664AA0" w:rsidP="00664AA0">
      <w:pPr>
        <w:rPr>
          <w:sz w:val="22"/>
          <w:szCs w:val="22"/>
        </w:rPr>
      </w:pPr>
      <w:r w:rsidRPr="00664AA0">
        <w:rPr>
          <w:sz w:val="22"/>
          <w:szCs w:val="22"/>
        </w:rPr>
        <w:t>Where uncertainties arise concerning the treatment of tax events or interpretation of the law we will seek external expert advice, the advice of PERI Group International Taxation department and engage in open dialogue with HMRC.</w:t>
      </w:r>
    </w:p>
    <w:p w14:paraId="048DB005" w14:textId="368F089D" w:rsidR="008A6278" w:rsidRPr="00664AA0" w:rsidRDefault="00664AA0" w:rsidP="00664AA0">
      <w:pPr>
        <w:rPr>
          <w:sz w:val="22"/>
          <w:szCs w:val="22"/>
        </w:rPr>
      </w:pPr>
      <w:r w:rsidRPr="00664AA0">
        <w:rPr>
          <w:sz w:val="22"/>
          <w:szCs w:val="22"/>
        </w:rPr>
        <w:t>Our approach to tax has been published in accordance with paragraph 16(2), Schedule 19 of the Finance Act 2016, and relates to our accounting period ended 31 December 202</w:t>
      </w:r>
      <w:r w:rsidR="00F725B7">
        <w:rPr>
          <w:sz w:val="22"/>
          <w:szCs w:val="22"/>
        </w:rPr>
        <w:t>4</w:t>
      </w:r>
      <w:r w:rsidRPr="00664AA0">
        <w:rPr>
          <w:sz w:val="22"/>
          <w:szCs w:val="22"/>
        </w:rPr>
        <w:t>.</w:t>
      </w:r>
    </w:p>
    <w:p w14:paraId="761718D3" w14:textId="77777777" w:rsidR="00664AA0" w:rsidRPr="00664AA0" w:rsidRDefault="00664AA0" w:rsidP="00664AA0">
      <w:pPr>
        <w:rPr>
          <w:sz w:val="22"/>
          <w:szCs w:val="22"/>
        </w:rPr>
      </w:pPr>
    </w:p>
    <w:p w14:paraId="45523115" w14:textId="77777777" w:rsidR="00664AA0" w:rsidRPr="00664AA0" w:rsidRDefault="00664AA0" w:rsidP="00664AA0">
      <w:pPr>
        <w:rPr>
          <w:sz w:val="22"/>
          <w:szCs w:val="22"/>
        </w:rPr>
      </w:pPr>
    </w:p>
    <w:p w14:paraId="7C1616E6" w14:textId="36313EA3" w:rsidR="00664AA0" w:rsidRPr="00664AA0" w:rsidRDefault="00664AA0" w:rsidP="00664AA0">
      <w:pPr>
        <w:rPr>
          <w:sz w:val="22"/>
          <w:szCs w:val="22"/>
        </w:rPr>
      </w:pPr>
      <w:r w:rsidRPr="00664AA0">
        <w:rPr>
          <w:sz w:val="22"/>
          <w:szCs w:val="22"/>
        </w:rPr>
        <w:t>Mabey Hire Limited Tax Strategy Statement for website publication – November 2025</w:t>
      </w:r>
    </w:p>
    <w:sectPr w:rsidR="00664AA0" w:rsidRPr="00664AA0" w:rsidSect="00664AA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AA0"/>
    <w:rsid w:val="00664AA0"/>
    <w:rsid w:val="008A6278"/>
    <w:rsid w:val="00906539"/>
    <w:rsid w:val="0097795C"/>
    <w:rsid w:val="00F46500"/>
    <w:rsid w:val="00F725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7D51E"/>
  <w15:chartTrackingRefBased/>
  <w15:docId w15:val="{F92E5542-C237-48EA-99B3-AD3A16622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4A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A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A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A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4A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4A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A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A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A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A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A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A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A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4A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4A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4A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4A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4AA0"/>
    <w:rPr>
      <w:rFonts w:eastAsiaTheme="majorEastAsia" w:cstheme="majorBidi"/>
      <w:color w:val="272727" w:themeColor="text1" w:themeTint="D8"/>
    </w:rPr>
  </w:style>
  <w:style w:type="paragraph" w:styleId="Title">
    <w:name w:val="Title"/>
    <w:basedOn w:val="Normal"/>
    <w:next w:val="Normal"/>
    <w:link w:val="TitleChar"/>
    <w:uiPriority w:val="10"/>
    <w:qFormat/>
    <w:rsid w:val="00664A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A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A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A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4AA0"/>
    <w:pPr>
      <w:spacing w:before="160"/>
      <w:jc w:val="center"/>
    </w:pPr>
    <w:rPr>
      <w:i/>
      <w:iCs/>
      <w:color w:val="404040" w:themeColor="text1" w:themeTint="BF"/>
    </w:rPr>
  </w:style>
  <w:style w:type="character" w:customStyle="1" w:styleId="QuoteChar">
    <w:name w:val="Quote Char"/>
    <w:basedOn w:val="DefaultParagraphFont"/>
    <w:link w:val="Quote"/>
    <w:uiPriority w:val="29"/>
    <w:rsid w:val="00664AA0"/>
    <w:rPr>
      <w:i/>
      <w:iCs/>
      <w:color w:val="404040" w:themeColor="text1" w:themeTint="BF"/>
    </w:rPr>
  </w:style>
  <w:style w:type="paragraph" w:styleId="ListParagraph">
    <w:name w:val="List Paragraph"/>
    <w:basedOn w:val="Normal"/>
    <w:uiPriority w:val="34"/>
    <w:qFormat/>
    <w:rsid w:val="00664AA0"/>
    <w:pPr>
      <w:ind w:left="720"/>
      <w:contextualSpacing/>
    </w:pPr>
  </w:style>
  <w:style w:type="character" w:styleId="IntenseEmphasis">
    <w:name w:val="Intense Emphasis"/>
    <w:basedOn w:val="DefaultParagraphFont"/>
    <w:uiPriority w:val="21"/>
    <w:qFormat/>
    <w:rsid w:val="00664AA0"/>
    <w:rPr>
      <w:i/>
      <w:iCs/>
      <w:color w:val="0F4761" w:themeColor="accent1" w:themeShade="BF"/>
    </w:rPr>
  </w:style>
  <w:style w:type="paragraph" w:styleId="IntenseQuote">
    <w:name w:val="Intense Quote"/>
    <w:basedOn w:val="Normal"/>
    <w:next w:val="Normal"/>
    <w:link w:val="IntenseQuoteChar"/>
    <w:uiPriority w:val="30"/>
    <w:qFormat/>
    <w:rsid w:val="00664A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AA0"/>
    <w:rPr>
      <w:i/>
      <w:iCs/>
      <w:color w:val="0F4761" w:themeColor="accent1" w:themeShade="BF"/>
    </w:rPr>
  </w:style>
  <w:style w:type="character" w:styleId="IntenseReference">
    <w:name w:val="Intense Reference"/>
    <w:basedOn w:val="DefaultParagraphFont"/>
    <w:uiPriority w:val="32"/>
    <w:qFormat/>
    <w:rsid w:val="00664A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353</Words>
  <Characters>2015</Characters>
  <Application>Microsoft Office Word</Application>
  <DocSecurity>0</DocSecurity>
  <Lines>16</Lines>
  <Paragraphs>4</Paragraphs>
  <ScaleCrop>false</ScaleCrop>
  <Company>Mabey Hire Ltd</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Bowman</dc:creator>
  <cp:keywords/>
  <dc:description/>
  <cp:lastModifiedBy>David Bowman</cp:lastModifiedBy>
  <cp:revision>2</cp:revision>
  <dcterms:created xsi:type="dcterms:W3CDTF">2025-11-21T10:30:00Z</dcterms:created>
  <dcterms:modified xsi:type="dcterms:W3CDTF">2025-11-24T12:28:00Z</dcterms:modified>
</cp:coreProperties>
</file>